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widowControl/>
        <w:spacing w:before="0" w:beforeAutospacing="0" w:after="0" w:afterAutospacing="0" w:line="660" w:lineRule="exact"/>
        <w:jc w:val="center"/>
        <w:rPr>
          <w:rStyle w:val="10"/>
          <w:rFonts w:hint="eastAsia" w:ascii="方正小标宋简体" w:hAnsi="方正小标宋简体" w:eastAsia="方正小标宋简体" w:cs="方正小标宋简体"/>
          <w:b w:val="0"/>
          <w:kern w:val="2"/>
          <w:sz w:val="44"/>
          <w:szCs w:val="44"/>
          <w:lang w:val="en-US" w:eastAsia="zh-CN" w:bidi="ar-SA"/>
        </w:rPr>
      </w:pPr>
    </w:p>
    <w:p>
      <w:pPr>
        <w:widowControl/>
        <w:spacing w:before="0" w:beforeAutospacing="0" w:after="0" w:afterAutospacing="0" w:line="660" w:lineRule="exact"/>
        <w:jc w:val="center"/>
        <w:rPr>
          <w:rStyle w:val="10"/>
          <w:rFonts w:hint="eastAsia" w:ascii="方正小标宋简体" w:hAnsi="方正小标宋简体" w:eastAsia="方正小标宋简体" w:cs="方正小标宋简体"/>
          <w:b w:val="0"/>
          <w:kern w:val="0"/>
          <w:sz w:val="44"/>
          <w:szCs w:val="44"/>
          <w:lang w:val="en-US" w:eastAsia="zh-CN" w:bidi="ar-SA"/>
        </w:rPr>
      </w:pPr>
      <w:r>
        <w:rPr>
          <w:rStyle w:val="10"/>
          <w:rFonts w:hint="eastAsia" w:ascii="方正小标宋简体" w:hAnsi="方正小标宋简体" w:eastAsia="方正小标宋简体" w:cs="方正小标宋简体"/>
          <w:b w:val="0"/>
          <w:kern w:val="2"/>
          <w:sz w:val="44"/>
          <w:szCs w:val="44"/>
          <w:lang w:val="en-US" w:eastAsia="zh-CN" w:bidi="ar-SA"/>
        </w:rPr>
        <w:t>防雷安全领域重大事故隐患判定标准</w:t>
      </w:r>
    </w:p>
    <w:p>
      <w:pPr>
        <w:widowControl/>
        <w:spacing w:before="0" w:beforeAutospacing="0" w:after="0" w:afterAutospacing="0" w:line="660" w:lineRule="exact"/>
        <w:jc w:val="center"/>
        <w:rPr>
          <w:rStyle w:val="10"/>
          <w:rFonts w:hint="eastAsia" w:ascii="方正小标宋简体" w:hAnsi="方正小标宋简体" w:eastAsia="方正小标宋简体" w:cs="方正小标宋简体"/>
          <w:b w:val="0"/>
          <w:kern w:val="0"/>
          <w:sz w:val="36"/>
          <w:szCs w:val="36"/>
          <w:lang w:val="en-US" w:eastAsia="zh-CN" w:bidi="ar-SA"/>
        </w:rPr>
      </w:pPr>
      <w:r>
        <w:rPr>
          <w:rStyle w:val="10"/>
          <w:rFonts w:hint="eastAsia" w:ascii="方正小标宋简体" w:hAnsi="方正小标宋简体" w:eastAsia="方正小标宋简体" w:cs="方正小标宋简体"/>
          <w:b w:val="0"/>
          <w:kern w:val="2"/>
          <w:sz w:val="36"/>
          <w:szCs w:val="36"/>
          <w:lang w:val="en-US" w:eastAsia="zh-CN" w:bidi="ar-SA"/>
        </w:rPr>
        <w:t>（试行）</w:t>
      </w:r>
    </w:p>
    <w:p>
      <w:pPr>
        <w:widowControl/>
        <w:spacing w:before="0" w:beforeAutospacing="0" w:after="0" w:afterAutospacing="0" w:line="316" w:lineRule="exact"/>
        <w:jc w:val="center"/>
        <w:rPr>
          <w:rStyle w:val="10"/>
          <w:rFonts w:hint="eastAsia" w:ascii="宋体" w:hAnsi="宋体" w:eastAsia="宋体" w:cs="宋体"/>
          <w:kern w:val="0"/>
          <w:sz w:val="32"/>
          <w:szCs w:val="32"/>
          <w:lang w:val="en-US" w:eastAsia="zh-CN" w:bidi="ar-SA"/>
        </w:rPr>
      </w:pP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根据《中华人民共和国安全生产法》《中华人民共和国气象法》《气象灾害防御条例》《防雷减灾管理办法》《雷电防护装置检测资质管理办法》《雷电防护装置设计审核和竣工验收规定》等有关法律法规和规章，制定防雷安全领域重大事故隐患判定标准。</w:t>
      </w:r>
    </w:p>
    <w:p>
      <w:pPr>
        <w:widowControl w:val="0"/>
        <w:shd w:val="clear" w:color="auto" w:fill="FFFFFF"/>
        <w:spacing w:line="592" w:lineRule="exact"/>
        <w:ind w:firstLine="640" w:firstLineChars="200"/>
        <w:textAlignment w:val="baseline"/>
        <w:rPr>
          <w:rStyle w:val="10"/>
          <w:rFonts w:hint="eastAsia" w:ascii="黑体" w:hAnsi="黑体" w:eastAsia="黑体" w:cs="仿宋_GB2312"/>
          <w:b w:val="0"/>
          <w:color w:val="000000"/>
          <w:kern w:val="0"/>
          <w:sz w:val="32"/>
          <w:szCs w:val="32"/>
        </w:rPr>
      </w:pPr>
      <w:r>
        <w:rPr>
          <w:rStyle w:val="10"/>
          <w:rFonts w:hint="eastAsia" w:ascii="黑体" w:hAnsi="黑体" w:eastAsia="黑体" w:cs="仿宋_GB2312"/>
          <w:b w:val="0"/>
          <w:color w:val="000000"/>
          <w:kern w:val="0"/>
          <w:sz w:val="32"/>
          <w:szCs w:val="32"/>
        </w:rPr>
        <w:t>一、适用范围</w:t>
      </w:r>
    </w:p>
    <w:p>
      <w:pPr>
        <w:shd w:val="clear" w:color="auto" w:fill="FFFFFF"/>
        <w:spacing w:line="592" w:lineRule="exact"/>
        <w:ind w:firstLine="640" w:firstLineChars="200"/>
        <w:textAlignment w:val="baseline"/>
        <w:rPr>
          <w:rStyle w:val="10"/>
          <w:rFonts w:hint="eastAsia" w:ascii="仿宋_GB2312" w:hAnsi="仿宋_GB2312" w:eastAsia="仿宋_GB2312" w:cs="仿宋_GB2312"/>
          <w:b w:val="0"/>
          <w:color w:val="000000"/>
          <w:kern w:val="0"/>
          <w:sz w:val="32"/>
          <w:szCs w:val="32"/>
        </w:rPr>
      </w:pPr>
      <w:r>
        <w:rPr>
          <w:rStyle w:val="10"/>
          <w:rFonts w:hint="eastAsia" w:ascii="仿宋_GB2312" w:hAnsi="仿宋_GB2312" w:eastAsia="仿宋_GB2312" w:cs="仿宋_GB2312"/>
          <w:b w:val="0"/>
          <w:bCs w:val="0"/>
          <w:color w:val="000000"/>
          <w:kern w:val="0"/>
          <w:sz w:val="32"/>
          <w:szCs w:val="32"/>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r>
        <w:rPr>
          <w:rStyle w:val="10"/>
          <w:rFonts w:hint="eastAsia" w:ascii="仿宋_GB2312" w:hAnsi="仿宋_GB2312" w:eastAsia="仿宋_GB2312" w:cs="仿宋_GB2312"/>
          <w:b w:val="0"/>
          <w:color w:val="000000"/>
          <w:kern w:val="0"/>
          <w:sz w:val="32"/>
          <w:szCs w:val="32"/>
        </w:rPr>
        <w:t>。</w:t>
      </w:r>
    </w:p>
    <w:p>
      <w:pPr>
        <w:widowControl w:val="0"/>
        <w:shd w:val="clear" w:color="auto" w:fill="FFFFFF"/>
        <w:spacing w:line="592" w:lineRule="exact"/>
        <w:ind w:firstLine="640" w:firstLineChars="200"/>
        <w:textAlignment w:val="baseline"/>
        <w:rPr>
          <w:rStyle w:val="10"/>
          <w:rFonts w:hint="eastAsia" w:ascii="黑体" w:hAnsi="黑体" w:eastAsia="黑体" w:cs="仿宋_GB2312"/>
          <w:b w:val="0"/>
          <w:color w:val="000000"/>
          <w:kern w:val="0"/>
          <w:sz w:val="32"/>
          <w:szCs w:val="32"/>
        </w:rPr>
      </w:pPr>
      <w:r>
        <w:rPr>
          <w:rStyle w:val="10"/>
          <w:rFonts w:hint="eastAsia" w:ascii="黑体" w:hAnsi="黑体" w:eastAsia="黑体" w:cs="仿宋_GB2312"/>
          <w:b w:val="0"/>
          <w:color w:val="000000"/>
          <w:kern w:val="0"/>
          <w:sz w:val="32"/>
          <w:szCs w:val="32"/>
        </w:rPr>
        <w:t>二、防雷安全领域重大事故隐患判定标准</w:t>
      </w:r>
    </w:p>
    <w:p>
      <w:pPr>
        <w:widowControl w:val="0"/>
        <w:spacing w:before="0" w:beforeAutospacing="0" w:after="0" w:afterAutospacing="0" w:line="592" w:lineRule="exact"/>
        <w:ind w:firstLine="640" w:firstLineChars="200"/>
        <w:jc w:val="both"/>
        <w:rPr>
          <w:rStyle w:val="10"/>
          <w:rFonts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（一）未将防雷安全纳入本单位安全生产责任体系（包括从主要负责人到一线员工的全员安全生产岗位责任清单、风险分级管控制度、事故隐患排查治理制度和事故应急救援预案等制度规定）的。</w:t>
      </w: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（二）在生产经营活动中未落实防雷安全责任制度和强制性标准的。</w:t>
      </w: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（三）雷电防护装置未经设计审核或者设计审核不合格施工的；未经竣工验收或者竣工验收不合格交付使用的。</w:t>
      </w: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bCs/>
          <w:color w:val="000000"/>
          <w:kern w:val="0"/>
          <w:sz w:val="32"/>
          <w:szCs w:val="32"/>
          <w:lang w:val="en-US" w:eastAsia="zh-CN" w:bidi="ar-SA"/>
        </w:rPr>
      </w:pPr>
      <w:r>
        <w:rPr>
          <w:rStyle w:val="10"/>
          <w:rFonts w:hint="eastAsia" w:ascii="仿宋_GB2312" w:hAnsi="仿宋_GB2312" w:eastAsia="仿宋_GB2312" w:cs="仿宋_GB2312"/>
          <w:b w:val="0"/>
          <w:bCs/>
          <w:color w:val="000000"/>
          <w:kern w:val="2"/>
          <w:sz w:val="32"/>
          <w:szCs w:val="32"/>
          <w:lang w:val="en-US" w:eastAsia="zh-CN" w:bidi="ar-SA"/>
        </w:rPr>
        <w:t>（四）在雷电防护装置设计、施工中弄虚作假的。</w:t>
      </w: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（五）未按国家有关标准采取雷电防护措施的；雷电防护装置失效的。</w:t>
      </w:r>
    </w:p>
    <w:p>
      <w:pPr>
        <w:widowControl w:val="0"/>
        <w:spacing w:before="0" w:beforeAutospacing="0" w:after="0" w:afterAutospacing="0" w:line="592" w:lineRule="exact"/>
        <w:ind w:firstLine="640" w:firstLineChars="200"/>
        <w:jc w:val="both"/>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（六）未执行雷电防护装置定期检测制度，或经检测不合格而未按规定整改的。</w:t>
      </w:r>
    </w:p>
    <w:p>
      <w:pPr>
        <w:widowControl w:val="0"/>
        <w:spacing w:before="0" w:beforeAutospacing="0" w:after="0" w:afterAutospacing="0" w:line="592" w:lineRule="exact"/>
        <w:ind w:firstLine="640" w:firstLineChars="200"/>
        <w:jc w:val="both"/>
        <w:rPr>
          <w:rStyle w:val="10"/>
          <w:rFonts w:hint="default"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（七）委托低于相应资质等级的雷电防护装置检测单位对其进行定期检测的。</w:t>
      </w:r>
    </w:p>
    <w:p>
      <w:pPr>
        <w:widowControl w:val="0"/>
        <w:shd w:val="clear" w:color="auto" w:fill="FFFFFF"/>
        <w:spacing w:line="592" w:lineRule="exact"/>
        <w:ind w:firstLine="640" w:firstLineChars="200"/>
        <w:textAlignment w:val="baseline"/>
        <w:rPr>
          <w:rStyle w:val="10"/>
          <w:rFonts w:hint="eastAsia" w:ascii="黑体" w:hAnsi="黑体" w:eastAsia="黑体" w:cs="仿宋_GB2312"/>
          <w:b w:val="0"/>
          <w:color w:val="000000"/>
          <w:kern w:val="0"/>
          <w:sz w:val="32"/>
          <w:szCs w:val="32"/>
        </w:rPr>
      </w:pPr>
      <w:r>
        <w:rPr>
          <w:rStyle w:val="10"/>
          <w:rFonts w:hint="eastAsia" w:ascii="黑体" w:hAnsi="黑体" w:eastAsia="黑体" w:cs="仿宋_GB2312"/>
          <w:b w:val="0"/>
          <w:color w:val="000000"/>
          <w:kern w:val="0"/>
          <w:sz w:val="32"/>
          <w:szCs w:val="32"/>
        </w:rPr>
        <w:t>三、标准的解释</w:t>
      </w:r>
    </w:p>
    <w:p>
      <w:pPr>
        <w:widowControl w:val="0"/>
        <w:shd w:val="clear" w:color="auto" w:fill="auto"/>
        <w:spacing w:before="0" w:beforeAutospacing="0" w:after="0" w:afterAutospacing="0" w:line="592" w:lineRule="exact"/>
        <w:ind w:firstLine="640" w:firstLineChars="200"/>
        <w:jc w:val="both"/>
        <w:textAlignment w:val="auto"/>
        <w:rPr>
          <w:rStyle w:val="10"/>
          <w:rFonts w:hint="eastAsia" w:ascii="仿宋_GB2312" w:hAnsi="仿宋_GB2312" w:eastAsia="仿宋_GB2312" w:cs="仿宋_GB2312"/>
          <w:b w:val="0"/>
          <w:color w:val="000000"/>
          <w:kern w:val="0"/>
          <w:sz w:val="32"/>
          <w:szCs w:val="32"/>
          <w:lang w:val="en-US" w:eastAsia="zh-CN" w:bidi="ar-SA"/>
        </w:rPr>
      </w:pPr>
      <w:r>
        <w:rPr>
          <w:rStyle w:val="10"/>
          <w:rFonts w:hint="eastAsia" w:ascii="仿宋_GB2312" w:hAnsi="仿宋_GB2312" w:eastAsia="仿宋_GB2312" w:cs="仿宋_GB2312"/>
          <w:b w:val="0"/>
          <w:color w:val="000000"/>
          <w:kern w:val="2"/>
          <w:sz w:val="32"/>
          <w:szCs w:val="32"/>
          <w:lang w:val="en-US" w:eastAsia="zh-CN" w:bidi="ar-SA"/>
        </w:rPr>
        <w:t>本判定标准由中国气象局政策法规司负责解释。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eastAsia="zh-CN"/>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rPr>
          <w:rFonts w:hint="default" w:ascii="仿宋_GB2312" w:hAnsi="仿宋_GB2312" w:eastAsia="仿宋_GB2312" w:cs="仿宋_GB2312"/>
          <w:color w:val="auto"/>
          <w:kern w:val="2"/>
          <w:sz w:val="32"/>
          <w:szCs w:val="32"/>
          <w:lang w:val="en-US" w:eastAsia="zh-CN" w:bidi="ar-S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A406A"/>
    <w:rsid w:val="0C9F1FFC"/>
    <w:rsid w:val="1BFB1FC9"/>
    <w:rsid w:val="1CDA406A"/>
    <w:rsid w:val="1D7BD754"/>
    <w:rsid w:val="3EE320BF"/>
    <w:rsid w:val="3FDEE4D8"/>
    <w:rsid w:val="4E7DC5AA"/>
    <w:rsid w:val="51FFE72C"/>
    <w:rsid w:val="53BA9E9E"/>
    <w:rsid w:val="56DF67C7"/>
    <w:rsid w:val="56FFCB54"/>
    <w:rsid w:val="5ED372C1"/>
    <w:rsid w:val="60F772C0"/>
    <w:rsid w:val="62AE4C20"/>
    <w:rsid w:val="6B8D1507"/>
    <w:rsid w:val="6F5DB799"/>
    <w:rsid w:val="7C5B4917"/>
    <w:rsid w:val="7EBD6319"/>
    <w:rsid w:val="7EDD5F15"/>
    <w:rsid w:val="7F738EA1"/>
    <w:rsid w:val="7FFE5AC2"/>
    <w:rsid w:val="AFBA42A6"/>
    <w:rsid w:val="BAA613D7"/>
    <w:rsid w:val="BFDFF59F"/>
    <w:rsid w:val="DDBF7142"/>
    <w:rsid w:val="DEEBEDBD"/>
    <w:rsid w:val="E7DB4C9E"/>
    <w:rsid w:val="EC5F5A88"/>
    <w:rsid w:val="EEDFB50F"/>
    <w:rsid w:val="F3FCBA0E"/>
    <w:rsid w:val="FCDF2F96"/>
    <w:rsid w:val="FFF6B553"/>
    <w:rsid w:val="FFFBC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Body Text 21"/>
    <w:qFormat/>
    <w:uiPriority w:val="0"/>
    <w:pPr>
      <w:widowControl w:val="0"/>
      <w:spacing w:line="480" w:lineRule="auto"/>
      <w:jc w:val="both"/>
    </w:pPr>
    <w:rPr>
      <w:rFonts w:ascii="Calibri" w:hAnsi="Calibri" w:eastAsia="宋体" w:cs="Arial"/>
      <w:kern w:val="2"/>
      <w:sz w:val="21"/>
      <w:szCs w:val="22"/>
      <w:lang w:val="en-US" w:eastAsia="zh-CN" w:bidi="ar-SA"/>
    </w:rPr>
  </w:style>
  <w:style w:type="paragraph" w:styleId="4">
    <w:name w:val="footer"/>
    <w:basedOn w:val="1"/>
    <w:next w:val="1"/>
    <w:unhideWhenUsed/>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w:basedOn w:val="2"/>
    <w:unhideWhenUsed/>
    <w:qFormat/>
    <w:uiPriority w:val="99"/>
    <w:pPr>
      <w:ind w:firstLine="420" w:firstLineChars="100"/>
    </w:pPr>
  </w:style>
  <w:style w:type="character" w:styleId="10">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2231</Words>
  <Characters>2254</Characters>
  <Lines>0</Lines>
  <Paragraphs>0</Paragraphs>
  <TotalTime>5</TotalTime>
  <ScaleCrop>false</ScaleCrop>
  <LinksUpToDate>false</LinksUpToDate>
  <CharactersWithSpaces>2256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2025-12-14T18:59:00Z</dcterms:created>
  <dc:creator>酒肉穿肠过</dc:creator>
  <cp:lastModifiedBy>admin</cp:lastModifiedBy>
  <cp:lastPrinted>2025-12-18T19:09:00Z</cp:lastPrinted>
  <dcterms:modified xsi:type="dcterms:W3CDTF">2025-12-18T14:05:27Z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C2D374B7E59291A4F5693A696BCA777C_43</vt:lpwstr>
  </property>
  <property fmtid="{D5CDD505-2E9C-101B-9397-08002B2CF9AE}" pid="4" name="KSOTemplateDocerSaveRecord">
    <vt:lpwstr>eyJoZGlkIjoiMjM0MmRhMzY3YmQ2MzUxMzIxNmVhYmVjMTE0YWUwYjAiLCJ1c2VySWQiOiIzNzI0Nzg0MjcifQ==</vt:lpwstr>
  </property>
</Properties>
</file>