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overflowPunct w:val="0"/>
        <w:spacing w:before="0" w:beforeAutospacing="0" w:after="0" w:afterLines="0" w:afterAutospacing="0" w:line="640" w:lineRule="exact"/>
        <w:ind w:left="0" w:right="0" w:rightChars="0"/>
        <w:jc w:val="both"/>
        <w:rPr>
          <w:rFonts w:hint="default" w:ascii="黑体" w:hAnsi="宋体" w:eastAsia="黑体" w:cs="黑体"/>
          <w:spacing w:val="0"/>
          <w:kern w:val="2"/>
          <w:sz w:val="32"/>
          <w:szCs w:val="32"/>
          <w:lang w:val="en-US"/>
        </w:rPr>
      </w:pPr>
      <w:r>
        <w:rPr>
          <w:rFonts w:hint="eastAsia" w:ascii="黑体" w:hAnsi="宋体" w:eastAsia="黑体" w:cs="黑体"/>
          <w:spacing w:val="0"/>
          <w:kern w:val="2"/>
          <w:sz w:val="32"/>
          <w:szCs w:val="32"/>
          <w:lang w:val="en-US" w:eastAsia="zh-CN" w:bidi="ar"/>
        </w:rPr>
        <w:t>附件</w:t>
      </w:r>
    </w:p>
    <w:p>
      <w:pPr>
        <w:keepNext w:val="0"/>
        <w:keepLines w:val="0"/>
        <w:widowControl w:val="0"/>
        <w:suppressLineNumbers w:val="0"/>
        <w:overflowPunct w:val="0"/>
        <w:spacing w:before="0" w:beforeAutospacing="0" w:after="0" w:afterLines="0" w:afterAutospacing="0" w:line="640" w:lineRule="exact"/>
        <w:ind w:left="0" w:right="0" w:rightChars="0" w:firstLine="0" w:firstLineChars="0"/>
        <w:jc w:val="both"/>
        <w:rPr>
          <w:rFonts w:hint="eastAsia" w:ascii="黑体" w:hAnsi="宋体" w:eastAsia="黑体" w:cs="黑体"/>
          <w:b w:val="0"/>
          <w:bCs w:val="0"/>
          <w:spacing w:val="0"/>
          <w:kern w:val="2"/>
          <w:sz w:val="32"/>
          <w:szCs w:val="32"/>
        </w:rPr>
      </w:pPr>
      <w:r>
        <w:rPr>
          <w:rFonts w:hint="eastAsia" w:ascii="黑体" w:hAnsi="宋体" w:eastAsia="黑体" w:cs="黑体"/>
          <w:b w:val="0"/>
          <w:bCs w:val="0"/>
          <w:spacing w:val="0"/>
          <w:kern w:val="2"/>
          <w:sz w:val="32"/>
          <w:szCs w:val="32"/>
          <w:lang w:val="en-US" w:eastAsia="zh-CN" w:bidi="ar"/>
        </w:rPr>
        <w:t xml:space="preserve"> </w:t>
      </w:r>
    </w:p>
    <w:p>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outlineLvl w:val="0"/>
        <w:rPr>
          <w:rFonts w:hint="eastAsia"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lang w:eastAsia="zh-CN"/>
        </w:rPr>
        <w:t>粮食经营台账管理办法</w:t>
      </w:r>
    </w:p>
    <w:p>
      <w:pPr>
        <w:pStyle w:val="2"/>
        <w:jc w:val="center"/>
        <w:rPr>
          <w:rFonts w:hint="default"/>
          <w:lang w:val="en-US" w:eastAsia="zh-CN"/>
        </w:rPr>
      </w:pPr>
      <w:r>
        <w:rPr>
          <w:rFonts w:hint="eastAsia" w:ascii="楷体_GB2312" w:hAnsi="楷体_GB2312" w:eastAsia="楷体_GB2312" w:cs="楷体_GB2312"/>
          <w:spacing w:val="0"/>
          <w:sz w:val="32"/>
          <w:szCs w:val="32"/>
          <w:lang w:val="en-US" w:eastAsia="zh-CN"/>
        </w:rPr>
        <w:t>（征求意见稿）</w:t>
      </w:r>
    </w:p>
    <w:p>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firstLine="0" w:firstLineChars="0"/>
        <w:jc w:val="left"/>
        <w:textAlignment w:val="auto"/>
        <w:rPr>
          <w:rFonts w:hint="eastAsia" w:ascii="黑体" w:hAnsi="黑体" w:eastAsia="黑体" w:cs="黑体"/>
          <w:b w:val="0"/>
          <w:bCs w:val="0"/>
          <w:spacing w:val="0"/>
          <w:sz w:val="36"/>
          <w:szCs w:val="36"/>
          <w:highlight w:val="none"/>
          <w:lang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0" w:firstLineChars="0"/>
        <w:jc w:val="center"/>
        <w:textAlignment w:val="auto"/>
        <w:rPr>
          <w:rFonts w:hint="eastAsia" w:ascii="黑体" w:hAnsi="黑体" w:eastAsia="黑体" w:cs="黑体"/>
          <w:b w:val="0"/>
          <w:bCs w:val="0"/>
          <w:spacing w:val="0"/>
          <w:sz w:val="32"/>
          <w:szCs w:val="32"/>
          <w:highlight w:val="none"/>
          <w:lang w:eastAsia="zh-CN"/>
        </w:rPr>
      </w:pPr>
      <w:r>
        <w:rPr>
          <w:rFonts w:hint="eastAsia" w:ascii="黑体" w:hAnsi="黑体" w:eastAsia="黑体" w:cs="黑体"/>
          <w:b w:val="0"/>
          <w:bCs w:val="0"/>
          <w:spacing w:val="0"/>
          <w:sz w:val="32"/>
          <w:szCs w:val="32"/>
          <w:highlight w:val="none"/>
          <w:lang w:eastAsia="zh-CN"/>
        </w:rPr>
        <w:t>一、总</w:t>
      </w:r>
      <w:r>
        <w:rPr>
          <w:rFonts w:hint="eastAsia" w:ascii="黑体" w:hAnsi="黑体" w:eastAsia="黑体" w:cs="黑体"/>
          <w:b w:val="0"/>
          <w:bCs w:val="0"/>
          <w:spacing w:val="0"/>
          <w:sz w:val="32"/>
          <w:szCs w:val="32"/>
          <w:highlight w:val="none"/>
          <w:lang w:val="en-US" w:eastAsia="zh-CN"/>
        </w:rPr>
        <w:t xml:space="preserve">  </w:t>
      </w:r>
      <w:r>
        <w:rPr>
          <w:rFonts w:hint="eastAsia" w:ascii="黑体" w:hAnsi="黑体" w:eastAsia="黑体" w:cs="黑体"/>
          <w:b w:val="0"/>
          <w:bCs w:val="0"/>
          <w:spacing w:val="0"/>
          <w:sz w:val="32"/>
          <w:szCs w:val="32"/>
          <w:highlight w:val="none"/>
          <w:lang w:eastAsia="zh-CN"/>
        </w:rPr>
        <w:t>则</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bookmarkStart w:id="0" w:name="_GoBack"/>
      <w:r>
        <w:rPr>
          <w:rFonts w:hint="eastAsia" w:ascii="黑体" w:hAnsi="黑体" w:eastAsia="黑体" w:cs="黑体"/>
          <w:b w:val="0"/>
          <w:bCs w:val="0"/>
          <w:spacing w:val="0"/>
          <w:sz w:val="32"/>
          <w:szCs w:val="32"/>
          <w:highlight w:val="none"/>
          <w:lang w:eastAsia="zh-CN"/>
        </w:rPr>
        <w:t>第一条</w:t>
      </w:r>
      <w:r>
        <w:rPr>
          <w:rFonts w:hint="eastAsia" w:ascii="黑体" w:hAnsi="黑体" w:eastAsia="黑体" w:cs="黑体"/>
          <w:b w:val="0"/>
          <w:bCs w:val="0"/>
          <w:spacing w:val="0"/>
          <w:sz w:val="32"/>
          <w:szCs w:val="32"/>
          <w:highlight w:val="none"/>
          <w:lang w:val="en-US" w:eastAsia="zh-CN"/>
        </w:rPr>
        <w:t xml:space="preserve">  【目的和依据】</w:t>
      </w:r>
      <w:r>
        <w:rPr>
          <w:rFonts w:hint="eastAsia" w:ascii="仿宋_GB2312" w:hAnsi="仿宋_GB2312" w:eastAsia="仿宋_GB2312" w:cs="仿宋_GB2312"/>
          <w:b w:val="0"/>
          <w:bCs w:val="0"/>
          <w:spacing w:val="0"/>
          <w:sz w:val="32"/>
          <w:szCs w:val="32"/>
          <w:highlight w:val="none"/>
          <w:lang w:val="en-US" w:eastAsia="zh-CN"/>
        </w:rPr>
        <w:t>为及时掌握粮食流通真实情况，维护粮食经营者合法权益，服务粮食经营者管理和决策，服务粮食宏观调控和执法监管，</w:t>
      </w:r>
      <w:r>
        <w:rPr>
          <w:rFonts w:hint="eastAsia" w:ascii="仿宋_GB2312" w:hAnsi="仿宋_GB2312" w:eastAsia="仿宋_GB2312" w:cs="仿宋_GB2312"/>
          <w:spacing w:val="0"/>
          <w:sz w:val="32"/>
          <w:szCs w:val="32"/>
        </w:rPr>
        <w:t>根据《中华人民共和国</w:t>
      </w:r>
      <w:r>
        <w:rPr>
          <w:rFonts w:hint="eastAsia" w:ascii="仿宋_GB2312" w:hAnsi="仿宋_GB2312" w:eastAsia="仿宋_GB2312" w:cs="仿宋_GB2312"/>
          <w:spacing w:val="0"/>
          <w:sz w:val="32"/>
          <w:szCs w:val="32"/>
          <w:lang w:eastAsia="zh-CN"/>
        </w:rPr>
        <w:t>粮食安全保障法</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highlight w:val="none"/>
          <w:lang w:eastAsia="zh-CN"/>
        </w:rPr>
        <w:t>《粮食流通管理条例》</w:t>
      </w:r>
      <w:r>
        <w:rPr>
          <w:rFonts w:hint="eastAsia" w:ascii="仿宋_GB2312" w:hAnsi="仿宋_GB2312" w:eastAsia="仿宋_GB2312" w:cs="仿宋_GB2312"/>
          <w:spacing w:val="0"/>
          <w:sz w:val="32"/>
          <w:szCs w:val="32"/>
          <w:lang w:eastAsia="zh-CN"/>
        </w:rPr>
        <w:t>等</w:t>
      </w:r>
      <w:r>
        <w:rPr>
          <w:rFonts w:hint="eastAsia" w:ascii="仿宋_GB2312" w:hAnsi="仿宋_GB2312" w:eastAsia="仿宋_GB2312" w:cs="仿宋_GB2312"/>
          <w:spacing w:val="0"/>
          <w:sz w:val="32"/>
          <w:szCs w:val="32"/>
        </w:rPr>
        <w:t>法律法规，制定本</w:t>
      </w:r>
      <w:r>
        <w:rPr>
          <w:rFonts w:hint="eastAsia" w:ascii="仿宋_GB2312" w:hAnsi="仿宋_GB2312" w:eastAsia="仿宋_GB2312" w:cs="仿宋_GB2312"/>
          <w:spacing w:val="0"/>
          <w:sz w:val="32"/>
          <w:szCs w:val="32"/>
          <w:lang w:eastAsia="zh-CN"/>
        </w:rPr>
        <w:t>办法</w:t>
      </w:r>
      <w:r>
        <w:rPr>
          <w:rFonts w:hint="eastAsia" w:ascii="仿宋_GB2312" w:hAnsi="仿宋_GB2312" w:eastAsia="仿宋_GB2312" w:cs="仿宋_GB2312"/>
          <w:spacing w:val="0"/>
          <w:sz w:val="32"/>
          <w:szCs w:val="32"/>
        </w:rPr>
        <w:t>。</w:t>
      </w:r>
      <w:bookmarkEnd w:id="0"/>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第二条  【执行主体】</w:t>
      </w:r>
      <w:r>
        <w:rPr>
          <w:rFonts w:hint="eastAsia" w:ascii="仿宋_GB2312" w:hAnsi="仿宋_GB2312" w:eastAsia="仿宋_GB2312" w:cs="仿宋_GB2312"/>
          <w:b w:val="0"/>
          <w:bCs w:val="0"/>
          <w:spacing w:val="0"/>
          <w:sz w:val="32"/>
          <w:szCs w:val="32"/>
          <w:highlight w:val="none"/>
          <w:lang w:val="en-US" w:eastAsia="zh-CN"/>
        </w:rPr>
        <w:t>从事粮食收购、储存、加工、销售的粮食经营者以及饲料、工业用粮企业（以下统称“粮食经营主体”），应当按照本办法规定建立粮食经营台账。</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第三条  【台账定义】</w:t>
      </w:r>
      <w:r>
        <w:rPr>
          <w:rFonts w:hint="eastAsia" w:ascii="仿宋_GB2312" w:hAnsi="仿宋_GB2312" w:eastAsia="仿宋_GB2312" w:cs="仿宋_GB2312"/>
          <w:b w:val="0"/>
          <w:bCs w:val="0"/>
          <w:spacing w:val="0"/>
          <w:sz w:val="32"/>
          <w:szCs w:val="32"/>
          <w:highlight w:val="none"/>
          <w:lang w:val="en-US" w:eastAsia="zh-CN"/>
        </w:rPr>
        <w:t>粮食经营台账是指粮食经营主体以经营过程中形成的粮食收购码单、销售发票、出入库凭证、购销合同等原始凭证以及相关政策文件为依据，将各种原始记录资料分类整理，按照业务发生时间顺序登记的各类账册的统称。</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0" w:firstLineChars="0"/>
        <w:jc w:val="both"/>
        <w:textAlignment w:val="auto"/>
        <w:rPr>
          <w:rFonts w:hint="eastAsia" w:ascii="黑体" w:hAnsi="黑体" w:eastAsia="黑体" w:cs="黑体"/>
          <w:b w:val="0"/>
          <w:bCs w:val="0"/>
          <w:spacing w:val="0"/>
          <w:sz w:val="32"/>
          <w:szCs w:val="32"/>
          <w:highlight w:val="none"/>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0" w:firstLineChars="0"/>
        <w:jc w:val="center"/>
        <w:textAlignment w:val="auto"/>
        <w:rPr>
          <w:rFonts w:hint="eastAsia" w:ascii="黑体" w:hAnsi="黑体" w:eastAsia="黑体" w:cs="黑体"/>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二、台账内容</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第四条  【内容总体要求】</w:t>
      </w:r>
      <w:r>
        <w:rPr>
          <w:rFonts w:hint="eastAsia" w:ascii="仿宋_GB2312" w:hAnsi="仿宋_GB2312" w:eastAsia="仿宋_GB2312" w:cs="仿宋_GB2312"/>
          <w:b w:val="0"/>
          <w:bCs w:val="0"/>
          <w:spacing w:val="0"/>
          <w:sz w:val="32"/>
          <w:szCs w:val="32"/>
          <w:highlight w:val="none"/>
          <w:lang w:val="en-US" w:eastAsia="zh-CN"/>
        </w:rPr>
        <w:t xml:space="preserve">粮食经营台账包含粮食经营主体自然信息、粮食购销交易行为信息、粮食经营资金财务信息、粮食政策执行信息等。 </w:t>
      </w:r>
      <w:r>
        <w:rPr>
          <w:rFonts w:hint="eastAsia" w:ascii="黑体" w:hAnsi="黑体" w:eastAsia="黑体" w:cs="黑体"/>
          <w:b w:val="0"/>
          <w:bCs w:val="0"/>
          <w:spacing w:val="0"/>
          <w:sz w:val="32"/>
          <w:szCs w:val="32"/>
          <w:highlight w:val="none"/>
          <w:lang w:val="en-US" w:eastAsia="zh-CN"/>
        </w:rPr>
        <w:t xml:space="preserve"> </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第五条  【经营主体自然信息】</w:t>
      </w:r>
      <w:r>
        <w:rPr>
          <w:rFonts w:hint="eastAsia" w:ascii="仿宋_GB2312" w:hAnsi="仿宋_GB2312" w:eastAsia="仿宋_GB2312" w:cs="仿宋_GB2312"/>
          <w:b w:val="0"/>
          <w:bCs w:val="0"/>
          <w:spacing w:val="0"/>
          <w:sz w:val="32"/>
          <w:szCs w:val="32"/>
          <w:highlight w:val="none"/>
          <w:lang w:val="en-US" w:eastAsia="zh-CN"/>
        </w:rPr>
        <w:t>粮食经营主体自然信息包括：</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（一）基础信息。详细名称、统一社会信用代码、法定代表人、地址、联系人及联系方式等。</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（二）其他信息。</w:t>
      </w:r>
      <w:r>
        <w:rPr>
          <w:rFonts w:hint="eastAsia" w:ascii="仿宋_GB2312" w:hAnsi="仿宋_GB2312" w:cs="仿宋_GB2312"/>
          <w:b w:val="0"/>
          <w:bCs w:val="0"/>
          <w:spacing w:val="0"/>
          <w:sz w:val="32"/>
          <w:szCs w:val="32"/>
          <w:highlight w:val="none"/>
          <w:lang w:val="en-US" w:eastAsia="zh-CN"/>
        </w:rPr>
        <w:t>工商</w:t>
      </w:r>
      <w:r>
        <w:rPr>
          <w:rFonts w:hint="eastAsia" w:ascii="仿宋_GB2312" w:hAnsi="仿宋_GB2312" w:eastAsia="仿宋_GB2312" w:cs="仿宋_GB2312"/>
          <w:b w:val="0"/>
          <w:bCs w:val="0"/>
          <w:spacing w:val="0"/>
          <w:sz w:val="32"/>
          <w:szCs w:val="32"/>
          <w:highlight w:val="none"/>
          <w:lang w:val="en-US" w:eastAsia="zh-CN"/>
        </w:rPr>
        <w:t>注册时间、注册类型、经营范围等。</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第六条  【购销交易行为信息】</w:t>
      </w:r>
      <w:r>
        <w:rPr>
          <w:rFonts w:hint="eastAsia" w:ascii="仿宋_GB2312" w:hAnsi="仿宋_GB2312" w:eastAsia="仿宋_GB2312" w:cs="仿宋_GB2312"/>
          <w:b w:val="0"/>
          <w:bCs w:val="0"/>
          <w:spacing w:val="0"/>
          <w:sz w:val="32"/>
          <w:szCs w:val="32"/>
          <w:highlight w:val="none"/>
          <w:lang w:val="en-US" w:eastAsia="zh-CN"/>
        </w:rPr>
        <w:t>粮食购销交易行为信息包括：</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（一）基础信息。粮食经营业务类型，以及发生的日期、品种、数量、计量单位等。</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（二）其他信息。粮食性质，以及质量指标、储存品质指标、食品安全指标等。</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业务类型包括从生产者购进、从企业购进、储存、加工、销售、进出口等；购进、销售需记录粮食来源及去向。粮食性质包括中央政府储备粮、地方政府储备粮、最低收购价粮、其他政策性粮、商品粮等。</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黑体" w:hAnsi="黑体" w:eastAsia="黑体" w:cs="黑体"/>
          <w:spacing w:val="0"/>
          <w:sz w:val="32"/>
          <w:szCs w:val="32"/>
          <w:highlight w:val="none"/>
          <w:lang w:eastAsia="zh-CN"/>
        </w:rPr>
        <w:t>第</w:t>
      </w:r>
      <w:r>
        <w:rPr>
          <w:rFonts w:hint="eastAsia" w:ascii="黑体" w:hAnsi="黑体" w:eastAsia="黑体" w:cs="黑体"/>
          <w:b w:val="0"/>
          <w:bCs w:val="0"/>
          <w:spacing w:val="0"/>
          <w:sz w:val="32"/>
          <w:szCs w:val="32"/>
          <w:highlight w:val="none"/>
          <w:lang w:val="en-US" w:eastAsia="zh-CN"/>
        </w:rPr>
        <w:t>七</w:t>
      </w:r>
      <w:r>
        <w:rPr>
          <w:rFonts w:hint="eastAsia" w:ascii="黑体" w:hAnsi="黑体" w:eastAsia="黑体" w:cs="黑体"/>
          <w:spacing w:val="0"/>
          <w:sz w:val="32"/>
          <w:szCs w:val="32"/>
          <w:highlight w:val="none"/>
          <w:lang w:eastAsia="zh-CN"/>
        </w:rPr>
        <w:t>条</w:t>
      </w:r>
      <w:r>
        <w:rPr>
          <w:rFonts w:hint="eastAsia" w:ascii="黑体" w:hAnsi="黑体" w:eastAsia="黑体" w:cs="黑体"/>
          <w:spacing w:val="0"/>
          <w:sz w:val="32"/>
          <w:szCs w:val="32"/>
          <w:highlight w:val="none"/>
          <w:lang w:val="en-US" w:eastAsia="zh-CN"/>
        </w:rPr>
        <w:t xml:space="preserve">  </w:t>
      </w:r>
      <w:r>
        <w:rPr>
          <w:rFonts w:hint="eastAsia" w:ascii="黑体" w:hAnsi="黑体" w:eastAsia="黑体" w:cs="黑体"/>
          <w:b w:val="0"/>
          <w:bCs w:val="0"/>
          <w:spacing w:val="0"/>
          <w:sz w:val="32"/>
          <w:szCs w:val="32"/>
          <w:highlight w:val="none"/>
          <w:lang w:val="en-US" w:eastAsia="zh-CN"/>
        </w:rPr>
        <w:t>【经营资金财务信息】</w:t>
      </w:r>
      <w:r>
        <w:rPr>
          <w:rFonts w:hint="eastAsia" w:ascii="仿宋_GB2312" w:hAnsi="仿宋_GB2312" w:eastAsia="仿宋_GB2312" w:cs="仿宋_GB2312"/>
          <w:b w:val="0"/>
          <w:bCs w:val="0"/>
          <w:spacing w:val="0"/>
          <w:sz w:val="32"/>
          <w:szCs w:val="32"/>
          <w:highlight w:val="none"/>
          <w:lang w:val="en-US" w:eastAsia="zh-CN"/>
        </w:rPr>
        <w:t>粮食经营资金财务信息包括：</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（一）基础信息。经营粮食的单价、金额等。</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（二）其他信息。与粮食经营业务直接相关的营业收入、结算方式、营业成本、税款、政府补贴等。</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第八条  【粮食政策执行信息】</w:t>
      </w:r>
      <w:r>
        <w:rPr>
          <w:rFonts w:hint="eastAsia" w:ascii="仿宋_GB2312" w:hAnsi="仿宋_GB2312" w:eastAsia="仿宋_GB2312" w:cs="仿宋_GB2312"/>
          <w:b w:val="0"/>
          <w:bCs w:val="0"/>
          <w:spacing w:val="0"/>
          <w:sz w:val="32"/>
          <w:szCs w:val="32"/>
          <w:highlight w:val="none"/>
          <w:lang w:val="en-US" w:eastAsia="zh-CN"/>
        </w:rPr>
        <w:t>粮食政策执行信息包括有关部门下达的政府事权粮食收购、销售、轮换、移库、加工等计划，相关计划的执行数量、时间等情况。</w:t>
      </w:r>
      <w:r>
        <w:rPr>
          <w:rFonts w:hint="default" w:ascii="仿宋_GB2312" w:hAnsi="仿宋_GB2312" w:eastAsia="仿宋_GB2312" w:cs="仿宋_GB2312"/>
          <w:b w:val="0"/>
          <w:bCs w:val="0"/>
          <w:spacing w:val="0"/>
          <w:sz w:val="32"/>
          <w:szCs w:val="32"/>
          <w:highlight w:val="none"/>
          <w:lang w:val="en-US" w:eastAsia="zh-CN"/>
        </w:rPr>
        <w:t>省级</w:t>
      </w:r>
      <w:r>
        <w:rPr>
          <w:rFonts w:hint="eastAsia" w:ascii="仿宋_GB2312" w:hAnsi="仿宋_GB2312" w:eastAsia="仿宋_GB2312" w:cs="仿宋_GB2312"/>
          <w:b w:val="0"/>
          <w:bCs w:val="0"/>
          <w:spacing w:val="0"/>
          <w:sz w:val="32"/>
          <w:szCs w:val="32"/>
          <w:highlight w:val="none"/>
          <w:lang w:val="en-US" w:eastAsia="zh-CN"/>
        </w:rPr>
        <w:t>粮食和储备行政管理部门可结合实际适当增加其他内容。</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第九条  【不同主体要求】</w:t>
      </w:r>
      <w:r>
        <w:rPr>
          <w:rFonts w:hint="eastAsia" w:ascii="仿宋_GB2312" w:hAnsi="仿宋_GB2312" w:eastAsia="仿宋_GB2312" w:cs="仿宋_GB2312"/>
          <w:b w:val="0"/>
          <w:bCs w:val="0"/>
          <w:spacing w:val="0"/>
          <w:sz w:val="32"/>
          <w:szCs w:val="32"/>
          <w:highlight w:val="none"/>
          <w:lang w:val="en-US" w:eastAsia="zh-CN"/>
        </w:rPr>
        <w:t>承担政策性粮食业务的主体建立的政策性粮食经营台账应当包括第五条至第八条规定的所有内容。</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从事商业性粮食经营活动的企业建立粮食经营台账应当包含第五条至第七条列出的基础信息。</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粮食经纪人、农业合作社等从事商业性粮食经营活动的非企业主体可采取简便易行的方式建立粮食经营台账，台账内容应包含业务发生日期、品种、数量、金额、计量单位等基本要素。</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0" w:firstLineChars="0"/>
        <w:jc w:val="center"/>
        <w:textAlignment w:val="auto"/>
        <w:rPr>
          <w:rFonts w:hint="eastAsia" w:ascii="黑体" w:hAnsi="黑体" w:eastAsia="黑体" w:cs="黑体"/>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三、记录要求</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第十条  【台账样式】</w:t>
      </w:r>
      <w:r>
        <w:rPr>
          <w:rFonts w:hint="eastAsia" w:ascii="仿宋_GB2312" w:hAnsi="仿宋_GB2312" w:eastAsia="仿宋_GB2312" w:cs="仿宋_GB2312"/>
          <w:b w:val="0"/>
          <w:bCs w:val="0"/>
          <w:spacing w:val="0"/>
          <w:sz w:val="32"/>
          <w:szCs w:val="32"/>
          <w:highlight w:val="none"/>
          <w:lang w:val="en-US" w:eastAsia="zh-CN"/>
        </w:rPr>
        <w:t>省级</w:t>
      </w:r>
      <w:r>
        <w:rPr>
          <w:rFonts w:hint="eastAsia" w:ascii="仿宋_GB2312" w:hAnsi="仿宋_GB2312" w:eastAsia="仿宋_GB2312" w:cs="仿宋_GB2312"/>
          <w:b w:val="0"/>
          <w:bCs w:val="0"/>
          <w:spacing w:val="0"/>
          <w:sz w:val="32"/>
          <w:szCs w:val="32"/>
          <w:highlight w:val="none"/>
          <w:lang w:val="en" w:eastAsia="zh-CN"/>
        </w:rPr>
        <w:t>粮食和储备行政管理部门应当</w:t>
      </w:r>
      <w:r>
        <w:rPr>
          <w:rFonts w:hint="eastAsia" w:ascii="仿宋_GB2312" w:hAnsi="仿宋_GB2312" w:eastAsia="仿宋_GB2312" w:cs="仿宋_GB2312"/>
          <w:b w:val="0"/>
          <w:bCs w:val="0"/>
          <w:spacing w:val="0"/>
          <w:sz w:val="32"/>
          <w:szCs w:val="32"/>
          <w:highlight w:val="none"/>
          <w:lang w:val="en-US" w:eastAsia="zh-CN"/>
        </w:rPr>
        <w:t>结合实际，突出精简、高效、实用，以适当方式对本省（区、市）地方事权粮食和商品粮经营台账内容的样式提供指导参考。</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中国储备粮管理集团有限公司应当统一确定中央政府储备粮、最低收购价粮等中央事权粮食</w:t>
      </w:r>
      <w:r>
        <w:rPr>
          <w:rFonts w:hint="default" w:ascii="仿宋_GB2312" w:hAnsi="仿宋_GB2312" w:eastAsia="仿宋_GB2312" w:cs="仿宋_GB2312"/>
          <w:b w:val="0"/>
          <w:bCs w:val="0"/>
          <w:spacing w:val="0"/>
          <w:sz w:val="32"/>
          <w:szCs w:val="32"/>
          <w:highlight w:val="none"/>
          <w:lang w:val="en-US" w:eastAsia="zh-CN"/>
        </w:rPr>
        <w:t>，</w:t>
      </w:r>
      <w:r>
        <w:rPr>
          <w:rFonts w:hint="eastAsia" w:ascii="仿宋_GB2312" w:hAnsi="仿宋_GB2312" w:eastAsia="仿宋_GB2312" w:cs="仿宋_GB2312"/>
          <w:b w:val="0"/>
          <w:bCs w:val="0"/>
          <w:spacing w:val="0"/>
          <w:sz w:val="32"/>
          <w:szCs w:val="32"/>
          <w:highlight w:val="none"/>
          <w:lang w:val="en-US" w:eastAsia="zh-CN"/>
        </w:rPr>
        <w:t>以及上述粮食</w:t>
      </w:r>
      <w:r>
        <w:rPr>
          <w:rFonts w:hint="default" w:ascii="仿宋_GB2312" w:hAnsi="仿宋_GB2312" w:eastAsia="仿宋_GB2312" w:cs="仿宋_GB2312"/>
          <w:b w:val="0"/>
          <w:bCs w:val="0"/>
          <w:spacing w:val="0"/>
          <w:sz w:val="32"/>
          <w:szCs w:val="32"/>
          <w:highlight w:val="none"/>
          <w:lang w:val="en-US" w:eastAsia="zh-CN"/>
        </w:rPr>
        <w:t>在收储、</w:t>
      </w:r>
      <w:r>
        <w:rPr>
          <w:rFonts w:hint="eastAsia" w:ascii="仿宋_GB2312" w:hAnsi="仿宋_GB2312" w:eastAsia="仿宋_GB2312" w:cs="仿宋_GB2312"/>
          <w:b w:val="0"/>
          <w:bCs w:val="0"/>
          <w:spacing w:val="0"/>
          <w:sz w:val="32"/>
          <w:szCs w:val="32"/>
          <w:highlight w:val="none"/>
          <w:lang w:val="en-US" w:eastAsia="zh-CN"/>
        </w:rPr>
        <w:t>轮换</w:t>
      </w:r>
      <w:r>
        <w:rPr>
          <w:rFonts w:hint="default" w:ascii="仿宋_GB2312" w:hAnsi="仿宋_GB2312" w:eastAsia="仿宋_GB2312" w:cs="仿宋_GB2312"/>
          <w:b w:val="0"/>
          <w:bCs w:val="0"/>
          <w:spacing w:val="0"/>
          <w:sz w:val="32"/>
          <w:szCs w:val="32"/>
          <w:highlight w:val="none"/>
          <w:lang w:val="en-US" w:eastAsia="zh-CN"/>
        </w:rPr>
        <w:t>、销售</w:t>
      </w:r>
      <w:r>
        <w:rPr>
          <w:rFonts w:hint="eastAsia" w:ascii="仿宋_GB2312" w:hAnsi="仿宋_GB2312" w:eastAsia="仿宋_GB2312" w:cs="仿宋_GB2312"/>
          <w:b w:val="0"/>
          <w:bCs w:val="0"/>
          <w:spacing w:val="0"/>
          <w:sz w:val="32"/>
          <w:szCs w:val="32"/>
          <w:highlight w:val="none"/>
          <w:lang w:val="en-US" w:eastAsia="zh-CN"/>
        </w:rPr>
        <w:t>过程中产生的商品粮经营台账的内容及样式。</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第十一条  【记录要求】</w:t>
      </w:r>
      <w:r>
        <w:rPr>
          <w:rFonts w:hint="eastAsia" w:ascii="仿宋_GB2312" w:hAnsi="仿宋_GB2312" w:eastAsia="仿宋_GB2312" w:cs="仿宋_GB2312"/>
          <w:b w:val="0"/>
          <w:bCs w:val="0"/>
          <w:spacing w:val="0"/>
          <w:sz w:val="32"/>
          <w:szCs w:val="32"/>
          <w:highlight w:val="none"/>
          <w:lang w:val="en-US" w:eastAsia="zh-CN"/>
        </w:rPr>
        <w:t>粮食经营台账登记的内容应当真实、准确、完整，与原始凭证和相关政策文件要求保持一致，不得伪造、篡改、损毁。</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第十二条  【时间要求】</w:t>
      </w:r>
      <w:r>
        <w:rPr>
          <w:rFonts w:hint="eastAsia" w:ascii="仿宋_GB2312" w:hAnsi="仿宋_GB2312" w:eastAsia="仿宋_GB2312" w:cs="仿宋_GB2312"/>
          <w:b w:val="0"/>
          <w:bCs w:val="0"/>
          <w:spacing w:val="0"/>
          <w:sz w:val="32"/>
          <w:szCs w:val="32"/>
          <w:highlight w:val="none"/>
          <w:lang w:val="en-US" w:eastAsia="zh-CN"/>
        </w:rPr>
        <w:t>粮食经营主体应当及时汇总整理粮食购进、储存、销售等原始凭证，登统记录台账。月度内没有发生业务的，月度末结转上月末相关指标数据。</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粮食经营台账应当妥善保管备查，保证资料的连续性，保存期限不得少于3年。</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第十三条  【电子台账】</w:t>
      </w:r>
      <w:r>
        <w:rPr>
          <w:rFonts w:hint="eastAsia" w:ascii="仿宋_GB2312" w:hAnsi="仿宋_GB2312" w:eastAsia="仿宋_GB2312" w:cs="仿宋_GB2312"/>
          <w:b w:val="0"/>
          <w:bCs w:val="0"/>
          <w:spacing w:val="0"/>
          <w:sz w:val="32"/>
          <w:szCs w:val="32"/>
          <w:highlight w:val="none"/>
          <w:lang w:val="en-US" w:eastAsia="zh-CN"/>
        </w:rPr>
        <w:t>鼓励粮食经营主体通过信息化方式建立粮食经营台账。如粮食经营主体会计账簿等相关账册涵盖本办法列明的粮食经营台账内容，或所用电子信息化管理系统能够查询到相关内容，可视作已建立粮食经营台账，不必另行抄录、打印形成实体账本。</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spacing w:val="0"/>
          <w:sz w:val="32"/>
          <w:szCs w:val="32"/>
          <w:highlight w:val="none"/>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0" w:firstLineChars="0"/>
        <w:jc w:val="center"/>
        <w:textAlignment w:val="auto"/>
        <w:rPr>
          <w:rFonts w:hint="eastAsia" w:ascii="黑体" w:hAnsi="黑体" w:eastAsia="黑体" w:cs="黑体"/>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四、数据报送和使用</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第十四条  【数据报送】</w:t>
      </w:r>
      <w:r>
        <w:rPr>
          <w:rFonts w:hint="eastAsia" w:ascii="仿宋_GB2312" w:hAnsi="仿宋_GB2312" w:eastAsia="仿宋_GB2312" w:cs="仿宋_GB2312"/>
          <w:b w:val="0"/>
          <w:bCs w:val="0"/>
          <w:spacing w:val="0"/>
          <w:sz w:val="32"/>
          <w:szCs w:val="32"/>
          <w:highlight w:val="none"/>
          <w:lang w:val="en-US" w:eastAsia="zh-CN"/>
        </w:rPr>
        <w:t>粮食经营主体应当向所在地粮食和储备行政管理部门报送粮食购进、储存、销售等基本数据和有关情况。鼓励通过信息化方式报送。</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承担政府粮食储备管理的主体应当实现政府粮食储备信息实时采集、处理、传输、共享，确保可查询、可追溯。</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粮食经纪人、农业合作社等从事商业性粮食经营活动的非企业主体，可采取灵活简便的方式，视需报送必要的数据和情况。</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第十五条  【准确性和真实性】</w:t>
      </w:r>
      <w:r>
        <w:rPr>
          <w:rFonts w:hint="eastAsia" w:ascii="仿宋_GB2312" w:hAnsi="仿宋_GB2312" w:eastAsia="仿宋_GB2312" w:cs="仿宋_GB2312"/>
          <w:b w:val="0"/>
          <w:bCs w:val="0"/>
          <w:spacing w:val="0"/>
          <w:sz w:val="32"/>
          <w:szCs w:val="32"/>
          <w:highlight w:val="none"/>
          <w:lang w:val="en-US" w:eastAsia="zh-CN"/>
        </w:rPr>
        <w:t>粮食经营主体报送的基本数据和有关情况须与生产经营实际相符，与粮食经营台账相符。</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第十六条  【报送要求】</w:t>
      </w:r>
      <w:r>
        <w:rPr>
          <w:rFonts w:hint="eastAsia" w:ascii="仿宋_GB2312" w:hAnsi="仿宋_GB2312" w:eastAsia="仿宋_GB2312" w:cs="仿宋_GB2312"/>
          <w:b w:val="0"/>
          <w:bCs w:val="0"/>
          <w:spacing w:val="0"/>
          <w:sz w:val="32"/>
          <w:szCs w:val="32"/>
          <w:highlight w:val="none"/>
          <w:lang w:val="en-US" w:eastAsia="zh-CN"/>
        </w:rPr>
        <w:t>省级粮食和储备行政管理部门根据监管等工作需要研究确定本辖区各类粮食经营主体数据报送要求，</w:t>
      </w:r>
      <w:r>
        <w:rPr>
          <w:rFonts w:hint="eastAsia" w:ascii="仿宋_GB2312" w:hAnsi="仿宋_GB2312" w:eastAsia="仿宋_GB2312" w:cs="仿宋_GB2312"/>
          <w:spacing w:val="0"/>
          <w:sz w:val="32"/>
          <w:szCs w:val="32"/>
          <w:highlight w:val="none"/>
          <w:lang w:val="en-US" w:eastAsia="zh-CN"/>
        </w:rPr>
        <w:t>减轻基层负担，</w:t>
      </w:r>
      <w:r>
        <w:rPr>
          <w:rFonts w:hint="eastAsia" w:ascii="仿宋_GB2312" w:hAnsi="仿宋_GB2312" w:eastAsia="仿宋_GB2312" w:cs="仿宋_GB2312"/>
          <w:b w:val="0"/>
          <w:bCs w:val="0"/>
          <w:spacing w:val="0"/>
          <w:sz w:val="32"/>
          <w:szCs w:val="32"/>
          <w:highlight w:val="none"/>
          <w:lang w:val="en-US" w:eastAsia="zh-CN"/>
        </w:rPr>
        <w:t>持续提升信息化建设、应用和运维水平，发挥信息化支撑保障作用。</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第十七条  【使用数据】</w:t>
      </w:r>
      <w:r>
        <w:rPr>
          <w:rFonts w:hint="eastAsia" w:ascii="仿宋_GB2312" w:hAnsi="仿宋_GB2312" w:eastAsia="仿宋_GB2312" w:cs="仿宋_GB2312"/>
          <w:b w:val="0"/>
          <w:bCs w:val="0"/>
          <w:spacing w:val="0"/>
          <w:sz w:val="32"/>
          <w:szCs w:val="32"/>
          <w:highlight w:val="none"/>
          <w:lang w:val="en-US" w:eastAsia="zh-CN"/>
        </w:rPr>
        <w:t>粮食和储备行政管理部门对粮食经营主体报送的数据和情况加强分析和使用，及时掌握粮食流通真实情况，依法实施粮食流通监管执法。</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通过粮食经营台账数据和情况发现存在粮食相关风险隐患和问题的，粮食和储备行政管理部门应当及时组织核实、排查，依法依规处置。</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第十八条  【保密要求】</w:t>
      </w:r>
      <w:r>
        <w:rPr>
          <w:rFonts w:hint="eastAsia" w:ascii="仿宋_GB2312" w:hAnsi="仿宋_GB2312" w:eastAsia="仿宋_GB2312" w:cs="仿宋_GB2312"/>
          <w:b w:val="0"/>
          <w:bCs w:val="0"/>
          <w:spacing w:val="0"/>
          <w:sz w:val="32"/>
          <w:szCs w:val="32"/>
          <w:highlight w:val="none"/>
          <w:lang w:val="en-US" w:eastAsia="zh-CN"/>
        </w:rPr>
        <w:t>粮食经营主体报送的数据和情况涉及国家秘密、工作秘密、商业秘密和个人隐私的，严格按照保密及相关规定执行；粮食和储备行政管理部门依法予以保密。</w:t>
      </w:r>
    </w:p>
    <w:p>
      <w:pPr>
        <w:pStyle w:val="2"/>
        <w:keepNext w:val="0"/>
        <w:keepLines w:val="0"/>
        <w:pageBreakBefore w:val="0"/>
        <w:widowControl w:val="0"/>
        <w:kinsoku/>
        <w:wordWrap/>
        <w:topLinePunct w:val="0"/>
        <w:autoSpaceDE/>
        <w:autoSpaceDN/>
        <w:bidi w:val="0"/>
        <w:adjustRightInd/>
        <w:snapToGrid/>
        <w:spacing w:after="0" w:line="580" w:lineRule="exact"/>
        <w:jc w:val="both"/>
        <w:textAlignment w:val="auto"/>
        <w:rPr>
          <w:rFonts w:hint="eastAsia"/>
          <w:spacing w:val="0"/>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0" w:firstLineChars="0"/>
        <w:jc w:val="center"/>
        <w:textAlignment w:val="auto"/>
        <w:rPr>
          <w:rFonts w:hint="eastAsia" w:ascii="黑体" w:hAnsi="黑体" w:eastAsia="黑体" w:cs="黑体"/>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五、监督管理</w:t>
      </w:r>
    </w:p>
    <w:p>
      <w:pPr>
        <w:pStyle w:val="2"/>
        <w:keepNext w:val="0"/>
        <w:keepLines w:val="0"/>
        <w:pageBreakBefore w:val="0"/>
        <w:widowControl w:val="0"/>
        <w:kinsoku/>
        <w:wordWrap/>
        <w:overflowPunct w:val="0"/>
        <w:topLinePunct w:val="0"/>
        <w:autoSpaceDE/>
        <w:autoSpaceDN/>
        <w:bidi w:val="0"/>
        <w:adjustRightInd/>
        <w:snapToGrid/>
        <w:spacing w:after="0" w:line="580" w:lineRule="exact"/>
        <w:ind w:firstLine="640" w:firstLineChars="200"/>
        <w:jc w:val="both"/>
        <w:textAlignment w:val="auto"/>
        <w:rPr>
          <w:rFonts w:hint="eastAsia" w:ascii="仿宋_GB2312" w:hAnsi="仿宋_GB2312" w:eastAsia="仿宋_GB2312" w:cs="仿宋_GB2312"/>
          <w:b w:val="0"/>
          <w:bCs w:val="0"/>
          <w:spacing w:val="0"/>
          <w:kern w:val="2"/>
          <w:sz w:val="32"/>
          <w:szCs w:val="32"/>
          <w:highlight w:val="none"/>
          <w:lang w:val="en-US" w:eastAsia="zh-CN" w:bidi="ar-SA"/>
        </w:rPr>
      </w:pPr>
      <w:r>
        <w:rPr>
          <w:rFonts w:hint="eastAsia" w:ascii="黑体" w:hAnsi="黑体" w:eastAsia="黑体" w:cs="黑体"/>
          <w:b w:val="0"/>
          <w:bCs w:val="0"/>
          <w:spacing w:val="0"/>
          <w:sz w:val="32"/>
          <w:szCs w:val="32"/>
          <w:highlight w:val="none"/>
          <w:lang w:val="en-US" w:eastAsia="zh-CN"/>
        </w:rPr>
        <w:t>第十九条  【工作指导】</w:t>
      </w:r>
      <w:r>
        <w:rPr>
          <w:rFonts w:hint="eastAsia" w:ascii="仿宋_GB2312" w:hAnsi="仿宋_GB2312" w:eastAsia="仿宋_GB2312" w:cs="仿宋_GB2312"/>
          <w:b w:val="0"/>
          <w:bCs w:val="0"/>
          <w:spacing w:val="0"/>
          <w:kern w:val="2"/>
          <w:sz w:val="32"/>
          <w:szCs w:val="32"/>
          <w:highlight w:val="none"/>
          <w:lang w:val="en-US" w:eastAsia="zh-CN" w:bidi="ar-SA"/>
        </w:rPr>
        <w:t>粮食和储备行政管理部门指导粮食经营主体规范建立粮食经营台账。</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中国储备粮管理集团有限公司对承储中央事权粮食的企业建立经营台账进行</w:t>
      </w:r>
      <w:r>
        <w:rPr>
          <w:rFonts w:hint="eastAsia" w:ascii="仿宋_GB2312" w:hAnsi="仿宋_GB2312" w:eastAsia="仿宋_GB2312" w:cs="仿宋_GB2312"/>
          <w:b w:val="0"/>
          <w:bCs w:val="0"/>
          <w:spacing w:val="0"/>
          <w:sz w:val="32"/>
          <w:szCs w:val="32"/>
          <w:highlight w:val="none"/>
          <w:u w:val="none"/>
          <w:lang w:val="en-US" w:eastAsia="zh-CN"/>
        </w:rPr>
        <w:t>业务指导</w:t>
      </w:r>
      <w:r>
        <w:rPr>
          <w:rFonts w:hint="eastAsia" w:ascii="仿宋_GB2312" w:hAnsi="仿宋_GB2312" w:eastAsia="仿宋_GB2312" w:cs="仿宋_GB2312"/>
          <w:b w:val="0"/>
          <w:bCs w:val="0"/>
          <w:spacing w:val="0"/>
          <w:sz w:val="32"/>
          <w:szCs w:val="32"/>
          <w:highlight w:val="none"/>
          <w:lang w:val="en-US" w:eastAsia="zh-CN"/>
        </w:rPr>
        <w:t>，并督促其按规定报送基本数据和有关情况。</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第</w:t>
      </w:r>
      <w:r>
        <w:rPr>
          <w:rFonts w:hint="eastAsia" w:ascii="黑体" w:hAnsi="黑体" w:eastAsia="黑体" w:cs="黑体"/>
          <w:spacing w:val="0"/>
          <w:sz w:val="32"/>
          <w:szCs w:val="32"/>
          <w:highlight w:val="none"/>
          <w:lang w:val="en-US" w:eastAsia="zh-CN"/>
        </w:rPr>
        <w:t>二</w:t>
      </w:r>
      <w:r>
        <w:rPr>
          <w:rFonts w:hint="eastAsia" w:ascii="黑体" w:hAnsi="黑体" w:eastAsia="黑体" w:cs="黑体"/>
          <w:b w:val="0"/>
          <w:bCs w:val="0"/>
          <w:spacing w:val="0"/>
          <w:sz w:val="32"/>
          <w:szCs w:val="32"/>
          <w:highlight w:val="none"/>
          <w:lang w:val="en-US" w:eastAsia="zh-CN"/>
        </w:rPr>
        <w:t>十条  【主体责任】</w:t>
      </w:r>
      <w:r>
        <w:rPr>
          <w:rFonts w:hint="eastAsia" w:ascii="仿宋_GB2312" w:hAnsi="仿宋_GB2312" w:eastAsia="仿宋_GB2312" w:cs="仿宋_GB2312"/>
          <w:b w:val="0"/>
          <w:bCs w:val="0"/>
          <w:spacing w:val="0"/>
          <w:sz w:val="32"/>
          <w:szCs w:val="32"/>
          <w:highlight w:val="none"/>
          <w:lang w:val="en-US" w:eastAsia="zh-CN"/>
        </w:rPr>
        <w:t>粮食经营主体应加强粮食经营台账内控管理，并对台账内容的真实性、准确性负责。</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第</w:t>
      </w:r>
      <w:r>
        <w:rPr>
          <w:rFonts w:hint="eastAsia" w:ascii="黑体" w:hAnsi="黑体" w:eastAsia="黑体" w:cs="黑体"/>
          <w:spacing w:val="0"/>
          <w:sz w:val="32"/>
          <w:szCs w:val="32"/>
          <w:highlight w:val="none"/>
          <w:lang w:val="en-US" w:eastAsia="zh-CN"/>
        </w:rPr>
        <w:t>二</w:t>
      </w:r>
      <w:r>
        <w:rPr>
          <w:rFonts w:hint="eastAsia" w:ascii="黑体" w:hAnsi="黑体" w:eastAsia="黑体" w:cs="黑体"/>
          <w:b w:val="0"/>
          <w:bCs w:val="0"/>
          <w:spacing w:val="0"/>
          <w:sz w:val="32"/>
          <w:szCs w:val="32"/>
          <w:highlight w:val="none"/>
          <w:lang w:val="en-US" w:eastAsia="zh-CN"/>
        </w:rPr>
        <w:t>十一条  【监督检查】</w:t>
      </w:r>
      <w:r>
        <w:rPr>
          <w:rFonts w:hint="eastAsia" w:ascii="仿宋_GB2312" w:hAnsi="仿宋_GB2312" w:eastAsia="仿宋_GB2312" w:cs="仿宋_GB2312"/>
          <w:b w:val="0"/>
          <w:bCs w:val="0"/>
          <w:spacing w:val="0"/>
          <w:sz w:val="32"/>
          <w:szCs w:val="32"/>
          <w:highlight w:val="none"/>
          <w:lang w:val="en-US" w:eastAsia="zh-CN"/>
        </w:rPr>
        <w:t>地方粮食和储备行政管理部门对辖区内粮食经营主体建立经营台账及报送数据等情况进行监督检查，对违法违规行为依法依规予以处置。</w:t>
      </w:r>
    </w:p>
    <w:p>
      <w:pPr>
        <w:keepNext w:val="0"/>
        <w:keepLines w:val="0"/>
        <w:pageBreakBefore w:val="0"/>
        <w:widowControl w:val="0"/>
        <w:numPr>
          <w:ilvl w:val="0"/>
          <w:numId w:val="0"/>
        </w:numPr>
        <w:kinsoku/>
        <w:wordWrap/>
        <w:overflowPunct w:val="0"/>
        <w:topLinePunct w:val="0"/>
        <w:autoSpaceDE/>
        <w:autoSpaceDN/>
        <w:bidi w:val="0"/>
        <w:adjustRightInd/>
        <w:snapToGrid/>
        <w:spacing w:after="0" w:line="580" w:lineRule="exact"/>
        <w:ind w:firstLine="640" w:firstLineChars="200"/>
        <w:jc w:val="both"/>
        <w:textAlignment w:val="auto"/>
        <w:rPr>
          <w:rFonts w:hint="eastAsia" w:ascii="黑体" w:hAnsi="黑体" w:eastAsia="黑体" w:cs="黑体"/>
          <w:b w:val="0"/>
          <w:bCs w:val="0"/>
          <w:spacing w:val="0"/>
          <w:sz w:val="32"/>
          <w:szCs w:val="32"/>
          <w:highlight w:val="none"/>
          <w:lang w:val="en-US" w:eastAsia="zh-CN"/>
        </w:rPr>
      </w:pPr>
    </w:p>
    <w:p>
      <w:pPr>
        <w:pStyle w:val="2"/>
        <w:rPr>
          <w:rFonts w:hint="eastAsia"/>
          <w:lang w:val="en-US" w:eastAsia="zh-CN"/>
        </w:rPr>
      </w:pPr>
    </w:p>
    <w:p>
      <w:pPr>
        <w:pStyle w:val="2"/>
        <w:keepNext w:val="0"/>
        <w:keepLines w:val="0"/>
        <w:pageBreakBefore w:val="0"/>
        <w:widowControl w:val="0"/>
        <w:kinsoku/>
        <w:wordWrap/>
        <w:overflowPunct w:val="0"/>
        <w:topLinePunct w:val="0"/>
        <w:autoSpaceDE/>
        <w:autoSpaceDN/>
        <w:bidi w:val="0"/>
        <w:adjustRightInd/>
        <w:snapToGrid/>
        <w:spacing w:after="0" w:line="580" w:lineRule="exact"/>
        <w:ind w:firstLine="0" w:firstLineChars="0"/>
        <w:jc w:val="center"/>
        <w:textAlignment w:val="auto"/>
        <w:rPr>
          <w:rFonts w:hint="eastAsia" w:ascii="黑体" w:hAnsi="黑体" w:eastAsia="黑体" w:cs="黑体"/>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六、附  则</w:t>
      </w:r>
    </w:p>
    <w:p>
      <w:pPr>
        <w:pStyle w:val="2"/>
        <w:keepNext w:val="0"/>
        <w:keepLines w:val="0"/>
        <w:pageBreakBefore w:val="0"/>
        <w:widowControl w:val="0"/>
        <w:kinsoku/>
        <w:wordWrap/>
        <w:overflowPunct w:val="0"/>
        <w:topLinePunct w:val="0"/>
        <w:autoSpaceDE/>
        <w:autoSpaceDN/>
        <w:bidi w:val="0"/>
        <w:adjustRightInd/>
        <w:snapToGrid/>
        <w:spacing w:after="0" w:line="580" w:lineRule="exact"/>
        <w:ind w:firstLine="640" w:firstLineChars="200"/>
        <w:jc w:val="both"/>
        <w:textAlignment w:val="auto"/>
        <w:rPr>
          <w:rFonts w:hint="eastAsia" w:ascii="仿宋_GB2312" w:hAnsi="仿宋_GB2312" w:eastAsia="仿宋_GB2312" w:cs="仿宋_GB2312"/>
          <w:b w:val="0"/>
          <w:bCs w:val="0"/>
          <w:spacing w:val="0"/>
          <w:kern w:val="2"/>
          <w:sz w:val="32"/>
          <w:szCs w:val="32"/>
          <w:highlight w:val="none"/>
          <w:lang w:val="en" w:eastAsia="zh-CN" w:bidi="ar-SA"/>
        </w:rPr>
      </w:pPr>
      <w:r>
        <w:rPr>
          <w:rFonts w:hint="eastAsia" w:ascii="黑体" w:hAnsi="黑体" w:eastAsia="黑体" w:cs="黑体"/>
          <w:b w:val="0"/>
          <w:bCs w:val="0"/>
          <w:spacing w:val="0"/>
          <w:sz w:val="32"/>
          <w:szCs w:val="32"/>
          <w:highlight w:val="none"/>
          <w:lang w:val="en-US" w:eastAsia="zh-CN"/>
        </w:rPr>
        <w:t>第二十</w:t>
      </w:r>
      <w:r>
        <w:rPr>
          <w:rFonts w:hint="eastAsia" w:ascii="黑体" w:hAnsi="黑体" w:eastAsia="黑体" w:cs="黑体"/>
          <w:spacing w:val="0"/>
          <w:sz w:val="32"/>
          <w:szCs w:val="32"/>
          <w:highlight w:val="none"/>
          <w:lang w:val="en-US" w:eastAsia="zh-CN"/>
        </w:rPr>
        <w:t>二</w:t>
      </w:r>
      <w:r>
        <w:rPr>
          <w:rFonts w:hint="eastAsia" w:ascii="黑体" w:hAnsi="黑体" w:eastAsia="黑体" w:cs="黑体"/>
          <w:b w:val="0"/>
          <w:bCs w:val="0"/>
          <w:spacing w:val="0"/>
          <w:sz w:val="32"/>
          <w:szCs w:val="32"/>
          <w:highlight w:val="none"/>
          <w:lang w:val="en-US" w:eastAsia="zh-CN"/>
        </w:rPr>
        <w:t>条  【解释主体】</w:t>
      </w:r>
      <w:r>
        <w:rPr>
          <w:rFonts w:hint="eastAsia" w:ascii="仿宋_GB2312" w:hAnsi="仿宋_GB2312" w:eastAsia="仿宋_GB2312" w:cs="仿宋_GB2312"/>
          <w:b w:val="0"/>
          <w:bCs w:val="0"/>
          <w:spacing w:val="0"/>
          <w:kern w:val="2"/>
          <w:sz w:val="32"/>
          <w:szCs w:val="32"/>
          <w:highlight w:val="none"/>
          <w:lang w:val="en-US" w:eastAsia="zh-CN" w:bidi="ar-SA"/>
        </w:rPr>
        <w:t>本办法由国家粮食和物资储备局负责解释</w:t>
      </w:r>
      <w:r>
        <w:rPr>
          <w:rFonts w:hint="eastAsia" w:ascii="仿宋_GB2312" w:hAnsi="仿宋_GB2312" w:eastAsia="仿宋_GB2312" w:cs="仿宋_GB2312"/>
          <w:b w:val="0"/>
          <w:bCs w:val="0"/>
          <w:spacing w:val="0"/>
          <w:kern w:val="2"/>
          <w:sz w:val="32"/>
          <w:szCs w:val="32"/>
          <w:highlight w:val="none"/>
          <w:lang w:val="en" w:eastAsia="zh-CN" w:bidi="ar-SA"/>
        </w:rPr>
        <w:t>。</w:t>
      </w:r>
    </w:p>
    <w:p>
      <w:pPr>
        <w:keepNext w:val="0"/>
        <w:keepLines w:val="0"/>
        <w:pageBreakBefore w:val="0"/>
        <w:widowControl w:val="0"/>
        <w:kinsoku/>
        <w:wordWrap/>
        <w:overflowPunct w:val="0"/>
        <w:topLinePunct w:val="0"/>
        <w:autoSpaceDE/>
        <w:autoSpaceDN w:val="0"/>
        <w:bidi w:val="0"/>
        <w:adjustRightInd w:val="0"/>
        <w:snapToGrid/>
        <w:spacing w:line="580" w:lineRule="exact"/>
        <w:ind w:firstLine="640" w:firstLineChars="200"/>
        <w:jc w:val="both"/>
        <w:textAlignment w:val="auto"/>
        <w:outlineLvl w:val="9"/>
        <w:rPr>
          <w:rFonts w:hint="default" w:ascii="仿宋_GB2312" w:hAnsi="仿宋_GB2312" w:eastAsia="仿宋_GB2312" w:cs="仿宋_GB2312"/>
          <w:b w:val="0"/>
          <w:bCs w:val="0"/>
          <w:spacing w:val="0"/>
          <w:kern w:val="2"/>
          <w:sz w:val="32"/>
          <w:szCs w:val="32"/>
          <w:highlight w:val="none"/>
          <w:lang w:val="en-US" w:eastAsia="zh-CN" w:bidi="ar-SA"/>
        </w:rPr>
      </w:pPr>
      <w:r>
        <w:rPr>
          <w:rFonts w:hint="eastAsia" w:ascii="黑体" w:hAnsi="黑体" w:eastAsia="黑体" w:cs="黑体"/>
          <w:spacing w:val="0"/>
          <w:sz w:val="32"/>
          <w:szCs w:val="32"/>
          <w:highlight w:val="none"/>
          <w:lang w:val="en-US" w:eastAsia="zh-CN"/>
        </w:rPr>
        <w:t>第二十三条</w:t>
      </w:r>
      <w:r>
        <w:rPr>
          <w:rFonts w:hint="eastAsia" w:ascii="黑体" w:hAnsi="黑体" w:eastAsia="黑体" w:cs="黑体"/>
          <w:b w:val="0"/>
          <w:bCs w:val="0"/>
          <w:spacing w:val="0"/>
          <w:sz w:val="32"/>
          <w:szCs w:val="32"/>
          <w:highlight w:val="none"/>
          <w:lang w:val="en-US" w:eastAsia="zh-CN"/>
        </w:rPr>
        <w:t xml:space="preserve">  【施行日期】</w:t>
      </w:r>
      <w:r>
        <w:rPr>
          <w:rFonts w:hint="eastAsia" w:ascii="仿宋_GB2312" w:hAnsi="仿宋_GB2312" w:eastAsia="仿宋_GB2312" w:cs="仿宋_GB2312"/>
          <w:b w:val="0"/>
          <w:bCs w:val="0"/>
          <w:spacing w:val="0"/>
          <w:kern w:val="2"/>
          <w:sz w:val="32"/>
          <w:szCs w:val="32"/>
          <w:highlight w:val="none"/>
          <w:lang w:val="en-US" w:eastAsia="zh-CN" w:bidi="ar-SA"/>
        </w:rPr>
        <w:t>本办法自</w:t>
      </w:r>
      <w:r>
        <w:rPr>
          <w:rFonts w:hint="default" w:ascii="仿宋_GB2312" w:hAnsi="仿宋_GB2312" w:cs="仿宋_GB2312"/>
          <w:b w:val="0"/>
          <w:bCs w:val="0"/>
          <w:spacing w:val="0"/>
          <w:kern w:val="2"/>
          <w:sz w:val="32"/>
          <w:szCs w:val="32"/>
          <w:highlight w:val="none"/>
          <w:u w:val="none"/>
          <w:lang w:val="en-US" w:eastAsia="zh-CN" w:bidi="ar-SA"/>
        </w:rPr>
        <w:t>XX</w:t>
      </w:r>
      <w:r>
        <w:rPr>
          <w:rFonts w:hint="eastAsia" w:ascii="仿宋_GB2312" w:hAnsi="仿宋_GB2312" w:eastAsia="仿宋_GB2312" w:cs="仿宋_GB2312"/>
          <w:b w:val="0"/>
          <w:bCs w:val="0"/>
          <w:spacing w:val="0"/>
          <w:kern w:val="2"/>
          <w:sz w:val="32"/>
          <w:szCs w:val="32"/>
          <w:highlight w:val="none"/>
          <w:u w:val="none"/>
          <w:lang w:val="en-US" w:eastAsia="zh-CN" w:bidi="ar-SA"/>
        </w:rPr>
        <w:t>年</w:t>
      </w:r>
      <w:r>
        <w:rPr>
          <w:rFonts w:hint="default" w:ascii="仿宋_GB2312" w:hAnsi="仿宋_GB2312" w:cs="仿宋_GB2312"/>
          <w:b w:val="0"/>
          <w:bCs w:val="0"/>
          <w:spacing w:val="0"/>
          <w:kern w:val="2"/>
          <w:sz w:val="32"/>
          <w:szCs w:val="32"/>
          <w:highlight w:val="none"/>
          <w:u w:val="none"/>
          <w:lang w:val="en-US" w:eastAsia="zh-CN" w:bidi="ar-SA"/>
        </w:rPr>
        <w:t>XX</w:t>
      </w:r>
      <w:r>
        <w:rPr>
          <w:rFonts w:hint="eastAsia" w:ascii="仿宋_GB2312" w:hAnsi="仿宋_GB2312" w:eastAsia="仿宋_GB2312" w:cs="仿宋_GB2312"/>
          <w:b w:val="0"/>
          <w:bCs w:val="0"/>
          <w:spacing w:val="0"/>
          <w:kern w:val="2"/>
          <w:sz w:val="32"/>
          <w:szCs w:val="32"/>
          <w:highlight w:val="none"/>
          <w:u w:val="none"/>
          <w:lang w:val="en-US" w:eastAsia="zh-CN" w:bidi="ar-SA"/>
        </w:rPr>
        <w:t>月</w:t>
      </w:r>
      <w:r>
        <w:rPr>
          <w:rFonts w:hint="default" w:ascii="仿宋_GB2312" w:hAnsi="仿宋_GB2312" w:cs="仿宋_GB2312"/>
          <w:b w:val="0"/>
          <w:bCs w:val="0"/>
          <w:spacing w:val="0"/>
          <w:kern w:val="2"/>
          <w:sz w:val="32"/>
          <w:szCs w:val="32"/>
          <w:highlight w:val="none"/>
          <w:u w:val="none"/>
          <w:lang w:val="en-US" w:eastAsia="zh-CN" w:bidi="ar-SA"/>
        </w:rPr>
        <w:t>XX</w:t>
      </w:r>
      <w:r>
        <w:rPr>
          <w:rFonts w:hint="eastAsia" w:ascii="仿宋_GB2312" w:hAnsi="仿宋_GB2312" w:eastAsia="仿宋_GB2312" w:cs="仿宋_GB2312"/>
          <w:b w:val="0"/>
          <w:bCs w:val="0"/>
          <w:spacing w:val="0"/>
          <w:kern w:val="2"/>
          <w:sz w:val="32"/>
          <w:szCs w:val="32"/>
          <w:highlight w:val="none"/>
          <w:u w:val="none"/>
          <w:lang w:val="en-US" w:eastAsia="zh-CN" w:bidi="ar-SA"/>
        </w:rPr>
        <w:t>日</w:t>
      </w:r>
      <w:r>
        <w:rPr>
          <w:rFonts w:hint="eastAsia" w:ascii="仿宋_GB2312" w:hAnsi="仿宋_GB2312" w:eastAsia="仿宋_GB2312" w:cs="仿宋_GB2312"/>
          <w:b w:val="0"/>
          <w:bCs w:val="0"/>
          <w:spacing w:val="0"/>
          <w:kern w:val="2"/>
          <w:sz w:val="32"/>
          <w:szCs w:val="32"/>
          <w:highlight w:val="none"/>
          <w:lang w:val="en-US" w:eastAsia="zh-CN" w:bidi="ar-SA"/>
        </w:rPr>
        <w:t>起施行</w:t>
      </w:r>
      <w:r>
        <w:rPr>
          <w:rFonts w:hint="eastAsia" w:ascii="仿宋_GB2312" w:hAnsi="仿宋_GB2312" w:cs="仿宋_GB2312"/>
          <w:b w:val="0"/>
          <w:bCs w:val="0"/>
          <w:spacing w:val="0"/>
          <w:kern w:val="2"/>
          <w:sz w:val="32"/>
          <w:szCs w:val="32"/>
          <w:highlight w:val="none"/>
          <w:lang w:val="en-US" w:eastAsia="zh-CN" w:bidi="ar-SA"/>
        </w:rPr>
        <w:t>。</w:t>
      </w: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keepNext w:val="0"/>
        <w:keepLines w:val="0"/>
        <w:pageBreakBefore w:val="0"/>
        <w:widowControl w:val="0"/>
        <w:kinsoku/>
        <w:wordWrap/>
        <w:overflowPunct/>
        <w:topLinePunct w:val="0"/>
        <w:autoSpaceDE/>
        <w:autoSpaceDN w:val="0"/>
        <w:bidi w:val="0"/>
        <w:adjustRightInd w:val="0"/>
        <w:snapToGrid/>
        <w:spacing w:beforeAutospacing="0" w:line="20" w:lineRule="exact"/>
        <w:ind w:right="0" w:rightChars="0"/>
        <w:jc w:val="both"/>
        <w:textAlignment w:val="auto"/>
        <w:outlineLvl w:val="9"/>
        <w:rPr>
          <w:rFonts w:hint="eastAsia" w:eastAsia="仿宋_GB2312"/>
          <w:spacing w:val="0"/>
          <w:lang w:eastAsia="zh-CN"/>
        </w:rPr>
      </w:pPr>
    </w:p>
    <w:sectPr>
      <w:footerReference r:id="rId5" w:type="default"/>
      <w:pgSz w:w="11906" w:h="16838"/>
      <w:pgMar w:top="2098" w:right="1531" w:bottom="1531" w:left="1531"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dJlOXM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Lq9U6o7+9hhppDxp6jDCEsPk0Ptl&#10;rtOupQV57Oeqh/9r+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F0mU5cwBAACnAwAADgAA&#10;AAAAAAABACAAAAA0AQAAZHJzL2Uyb0RvYy54bWxQSwUGAAAAAAYABgBZAQAAcgU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401CC"/>
    <w:rsid w:val="01856881"/>
    <w:rsid w:val="064F0082"/>
    <w:rsid w:val="068F00E1"/>
    <w:rsid w:val="16E401CC"/>
    <w:rsid w:val="1AB04D0D"/>
    <w:rsid w:val="22491C56"/>
    <w:rsid w:val="29907C3F"/>
    <w:rsid w:val="2BE412CA"/>
    <w:rsid w:val="2BF77F01"/>
    <w:rsid w:val="2D827D1E"/>
    <w:rsid w:val="34EC4C37"/>
    <w:rsid w:val="35BDDC76"/>
    <w:rsid w:val="38A8133A"/>
    <w:rsid w:val="39DB03B0"/>
    <w:rsid w:val="3CFB572D"/>
    <w:rsid w:val="3D5E0C45"/>
    <w:rsid w:val="3E8527A2"/>
    <w:rsid w:val="3EE35440"/>
    <w:rsid w:val="3F6FE27D"/>
    <w:rsid w:val="47A8519E"/>
    <w:rsid w:val="492905A3"/>
    <w:rsid w:val="49F8204D"/>
    <w:rsid w:val="4A015677"/>
    <w:rsid w:val="4DAF4C6A"/>
    <w:rsid w:val="4FCFC981"/>
    <w:rsid w:val="514F07F2"/>
    <w:rsid w:val="54BAE34B"/>
    <w:rsid w:val="5E0F1B60"/>
    <w:rsid w:val="5FB78F24"/>
    <w:rsid w:val="613E2453"/>
    <w:rsid w:val="6D717C1E"/>
    <w:rsid w:val="6DFF1DAA"/>
    <w:rsid w:val="6F7BC284"/>
    <w:rsid w:val="6FDF2A69"/>
    <w:rsid w:val="6FEEB88D"/>
    <w:rsid w:val="759F3666"/>
    <w:rsid w:val="75DB226C"/>
    <w:rsid w:val="79AC5FC4"/>
    <w:rsid w:val="7B1240D2"/>
    <w:rsid w:val="7F6916AB"/>
    <w:rsid w:val="7F9F9B41"/>
    <w:rsid w:val="7FFBA426"/>
    <w:rsid w:val="7FFE1CB0"/>
    <w:rsid w:val="B2CD3EE6"/>
    <w:rsid w:val="BAFFC92E"/>
    <w:rsid w:val="BE7758ED"/>
    <w:rsid w:val="BEFF7F3C"/>
    <w:rsid w:val="BFFB9B07"/>
    <w:rsid w:val="D9FE12D3"/>
    <w:rsid w:val="DDEB3E57"/>
    <w:rsid w:val="DF5FE63C"/>
    <w:rsid w:val="E29E00A7"/>
    <w:rsid w:val="E6FF6292"/>
    <w:rsid w:val="ED7F5929"/>
    <w:rsid w:val="EEDDC6AF"/>
    <w:rsid w:val="EFEA5BDC"/>
    <w:rsid w:val="F4ECD863"/>
    <w:rsid w:val="F5F73A67"/>
    <w:rsid w:val="FBDBE400"/>
    <w:rsid w:val="FBEE1689"/>
    <w:rsid w:val="FC0972DC"/>
    <w:rsid w:val="FE3F31B2"/>
    <w:rsid w:val="FEC77869"/>
    <w:rsid w:val="FFF7AA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6">
    <w:name w:val="Default Paragraph Font"/>
    <w:unhideWhenUsed/>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ind w:firstLine="640"/>
    </w:pPr>
  </w:style>
  <w:style w:type="paragraph" w:styleId="3">
    <w:name w:val="footer"/>
    <w:basedOn w:val="1"/>
    <w:unhideWhenUsed/>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unhideWhenUsed/>
    <w:qFormat/>
    <w:uiPriority w:val="99"/>
  </w:style>
  <w:style w:type="paragraph" w:customStyle="1" w:styleId="8">
    <w:name w:val="Body Text 21"/>
    <w:basedOn w:val="1"/>
    <w:qFormat/>
    <w:uiPriority w:val="0"/>
    <w:pPr>
      <w:spacing w:after="120" w:afterLines="0" w:line="480" w:lineRule="auto"/>
    </w:pPr>
    <w:rPr>
      <w:rFonts w:ascii="Arial" w:hAnsi="Arial"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F:\mb\fileMode.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fileMode.wpt</Template>
  <Pages>1</Pages>
  <Words>2</Words>
  <Characters>2</Characters>
  <Lines>1</Lines>
  <Paragraphs>1</Paragraphs>
  <TotalTime>1489</TotalTime>
  <ScaleCrop>false</ScaleCrop>
  <LinksUpToDate>false</LinksUpToDate>
  <CharactersWithSpaces>0</CharactersWithSpaces>
  <Application>WPS Office_11.8.2.12303_F1E327BC-269C-435d-A152-05C5408002CA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2016-04-21T19:31:00Z</dcterms:created>
  <dc:creator>Administrator</dc:creator>
  <cp:lastModifiedBy>linan</cp:lastModifiedBy>
  <cp:lastPrinted>2025-09-17T10:15:00Z</cp:lastPrinted>
  <dcterms:modified xsi:type="dcterms:W3CDTF">2025-10-20T15:32:00Z</dcterms:modified>
  <dc:title>附件n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2052-11.8.2.12303</vt:lpwstr>
  </property>
  <property fmtid="{D5CDD505-2E9C-101B-9397-08002B2CF9AE}" pid="3" name="ICV">
    <vt:lpwstr>301DB0DA238E0F6387C3C8685A72D983</vt:lpwstr>
  </property>
</Properties>
</file>